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rPr>
          <w:lang w:eastAsia="tr-TR"/>
        </w:rPr>
      </w:pPr>
      <w:r>
        <w:rPr>
          <w:lang w:eastAsia="tr-TR"/>
        </w:rPr>
        <w:t xml:space="preserve">                                                  2025-2026 EĞİTİM ÖĞRETİM YILI </w:t>
      </w:r>
    </w:p>
    <w:p>
      <w:pPr>
        <w:rPr>
          <w:sz w:val="24"/>
          <w:szCs w:val="24"/>
          <w:lang w:eastAsia="tr-TR"/>
        </w:rPr>
      </w:pPr>
      <w:r>
        <w:rPr>
          <w:lang w:eastAsia="tr-TR"/>
        </w:rPr>
        <w:t xml:space="preserve">                                                       </w:t>
      </w:r>
      <w:r>
        <w:rPr>
          <w:sz w:val="24"/>
          <w:szCs w:val="24"/>
          <w:lang w:eastAsia="tr-TR"/>
        </w:rPr>
        <w:t xml:space="preserve">ADANA ANADOLU LİSESİ </w:t>
      </w:r>
    </w:p>
    <w:p>
      <w:pPr>
        <w:rPr>
          <w:sz w:val="24"/>
          <w:szCs w:val="24"/>
          <w:lang w:eastAsia="tr-TR"/>
        </w:rPr>
      </w:pPr>
      <w:r>
        <w:rPr>
          <w:sz w:val="24"/>
          <w:szCs w:val="24"/>
          <w:lang w:eastAsia="tr-TR"/>
        </w:rPr>
        <w:t xml:space="preserve">              9. SINIF  TÜRK DİLİ VE EDEBİYATI DERSİ   KİTAP OKUMA FAALİYET RAPORU</w:t>
      </w:r>
    </w:p>
    <w:p>
      <w:pPr>
        <w:rPr>
          <w:sz w:val="24"/>
          <w:szCs w:val="24"/>
          <w:lang w:eastAsia="tr-TR"/>
        </w:rPr>
      </w:pPr>
      <w:r>
        <w:rPr>
          <w:sz w:val="24"/>
          <w:szCs w:val="24"/>
          <w:lang w:eastAsia="tr-TR"/>
        </w:rPr>
        <w:t>Ders: Türk Dili ve Edebiyatı</w:t>
      </w:r>
      <w:r>
        <w:rPr>
          <w:sz w:val="24"/>
          <w:szCs w:val="24"/>
          <w:lang w:eastAsia="tr-TR"/>
        </w:rPr>
        <w:br w:type="textWrapping"/>
      </w:r>
      <w:r>
        <w:rPr>
          <w:sz w:val="24"/>
          <w:szCs w:val="24"/>
          <w:lang w:eastAsia="tr-TR"/>
        </w:rPr>
        <w:t>Sınıf Düzeyi: 9. Sınıflar</w:t>
      </w:r>
      <w:r>
        <w:rPr>
          <w:sz w:val="24"/>
          <w:szCs w:val="24"/>
          <w:lang w:eastAsia="tr-TR"/>
        </w:rPr>
        <w:br w:type="textWrapping"/>
      </w:r>
      <w:r>
        <w:rPr>
          <w:sz w:val="24"/>
          <w:szCs w:val="24"/>
          <w:lang w:eastAsia="tr-TR"/>
        </w:rPr>
        <w:t>Dönem: 1. Dönem</w:t>
      </w:r>
      <w:r>
        <w:rPr>
          <w:sz w:val="24"/>
          <w:szCs w:val="24"/>
          <w:lang w:eastAsia="tr-TR"/>
        </w:rPr>
        <w:br w:type="textWrapping"/>
      </w:r>
      <w:r>
        <w:rPr>
          <w:sz w:val="24"/>
          <w:szCs w:val="24"/>
          <w:lang w:eastAsia="tr-TR"/>
        </w:rPr>
        <w:t>Eğitim Modeli: Türkiye Yüzyılı Maarif Modeli</w:t>
      </w:r>
      <w:r>
        <w:rPr>
          <w:sz w:val="24"/>
          <w:szCs w:val="24"/>
          <w:lang w:eastAsia="tr-TR"/>
        </w:rPr>
        <w:br w:type="textWrapping"/>
      </w:r>
      <w:r>
        <w:rPr>
          <w:sz w:val="24"/>
          <w:szCs w:val="24"/>
          <w:lang w:eastAsia="tr-TR"/>
        </w:rPr>
        <w:t>Temalar: Tema: Sözün İnceliği</w:t>
      </w:r>
    </w:p>
    <w:p>
      <w:pPr>
        <w:rPr>
          <w:sz w:val="24"/>
          <w:szCs w:val="24"/>
          <w:lang w:eastAsia="tr-TR"/>
        </w:rPr>
      </w:pPr>
      <w:r>
        <w:rPr>
          <w:sz w:val="24"/>
          <w:szCs w:val="24"/>
          <w:lang w:eastAsia="tr-TR"/>
        </w:rPr>
        <w:t xml:space="preserve">                   Tema: Anlam Arayışı</w:t>
      </w:r>
    </w:p>
    <w:p>
      <w:pPr>
        <w:rPr>
          <w:sz w:val="24"/>
          <w:szCs w:val="24"/>
          <w:lang w:eastAsia="tr-TR"/>
        </w:rPr>
      </w:pPr>
    </w:p>
    <w:p>
      <w:pPr>
        <w:rPr>
          <w:b w:val="1"/>
          <w:bCs w:val="1"/>
          <w:sz w:val="20"/>
          <w:szCs w:val="20"/>
          <w:lang w:eastAsia="tr-TR"/>
        </w:rPr>
      </w:pPr>
      <w:r>
        <w:rPr>
          <w:b w:val="1"/>
          <w:bCs w:val="1"/>
          <w:sz w:val="20"/>
          <w:szCs w:val="20"/>
          <w:lang w:eastAsia="tr-TR"/>
        </w:rPr>
        <w:t>1. FAALİYETİN AMACI</w:t>
      </w:r>
    </w:p>
    <w:p>
      <w:pPr>
        <w:rPr>
          <w:sz w:val="20"/>
          <w:szCs w:val="20"/>
          <w:lang w:eastAsia="tr-TR"/>
        </w:rPr>
      </w:pPr>
      <w:r>
        <w:rPr>
          <w:sz w:val="20"/>
          <w:szCs w:val="20"/>
          <w:lang w:eastAsia="tr-TR"/>
        </w:rPr>
        <w:t>Bu faaliyetle öğrencilerin; edebî metinler aracılığıyla dil zevki ve estetik duyarlılık kazanmaları, okuma yoluyla anlam arayışı, kendini tanıma ve eleştirel düşünme becerilerini geliştirmeleri ,değerler eğitimi kapsamında dostluk, sorumluluk, saygı, çalışkanlık ve vatanseverlik gibi temel değerleri içselleştirmeleri, Türkiye Yüzyılı Maarif Modeli’nde yer alan duygusal, sosyal ve bilişsel becerileri geliştirmeleri amaçlanmıştır.</w:t>
      </w:r>
    </w:p>
    <w:p>
      <w:pPr>
        <w:rPr>
          <w:sz w:val="20"/>
          <w:szCs w:val="20"/>
          <w:lang w:eastAsia="tr-TR"/>
        </w:rPr>
      </w:pPr>
    </w:p>
    <w:p>
      <w:pPr>
        <w:rPr>
          <w:b w:val="1"/>
          <w:bCs w:val="1"/>
          <w:sz w:val="20"/>
          <w:szCs w:val="20"/>
          <w:lang w:eastAsia="tr-TR"/>
        </w:rPr>
      </w:pPr>
      <w:r>
        <w:rPr>
          <w:b w:val="1"/>
          <w:bCs w:val="1"/>
          <w:sz w:val="20"/>
          <w:szCs w:val="20"/>
          <w:lang w:eastAsia="tr-TR"/>
        </w:rPr>
        <w:t>2. FAALİYETİN KAPSAMI</w:t>
      </w:r>
    </w:p>
    <w:p>
      <w:pPr>
        <w:rPr>
          <w:sz w:val="20"/>
          <w:szCs w:val="20"/>
          <w:lang w:eastAsia="tr-TR"/>
        </w:rPr>
      </w:pPr>
      <w:r>
        <w:rPr>
          <w:sz w:val="20"/>
          <w:szCs w:val="20"/>
          <w:lang w:eastAsia="tr-TR"/>
        </w:rPr>
        <w:t>Faaliyet kapsamında, 9. sınıf Türk Dili ve Edebiyatı dersi 1. döneminde işlenen; “Sözün İnceliği” , “Anlam Arayışı”</w:t>
      </w:r>
    </w:p>
    <w:p>
      <w:pPr>
        <w:rPr>
          <w:sz w:val="20"/>
          <w:szCs w:val="20"/>
          <w:lang w:eastAsia="tr-TR"/>
        </w:rPr>
      </w:pPr>
      <w:r>
        <w:rPr>
          <w:sz w:val="20"/>
          <w:szCs w:val="20"/>
          <w:lang w:eastAsia="tr-TR"/>
        </w:rPr>
        <w:t>temalarına uygun olarak belirlenen eserlerden oluşan kitap okuma listesi öğrencilere sunulmuştur. Öğrenciler, listedeki eserler arasından ilgi ve tercihleri doğrultusunda kitap seçerek okuma çalışmaları yapmıştır.</w:t>
      </w:r>
    </w:p>
    <w:p>
      <w:pPr>
        <w:rPr>
          <w:sz w:val="20"/>
          <w:szCs w:val="20"/>
          <w:lang w:eastAsia="tr-TR"/>
        </w:rPr>
      </w:pPr>
    </w:p>
    <w:p>
      <w:pPr>
        <w:rPr>
          <w:b w:val="1"/>
          <w:bCs w:val="1"/>
          <w:sz w:val="20"/>
          <w:szCs w:val="20"/>
          <w:lang w:eastAsia="tr-TR"/>
        </w:rPr>
      </w:pPr>
      <w:r>
        <w:rPr>
          <w:b w:val="1"/>
          <w:bCs w:val="1"/>
          <w:sz w:val="20"/>
          <w:szCs w:val="20"/>
          <w:lang w:eastAsia="tr-TR"/>
        </w:rPr>
        <w:t>3. UYGULAMA SÜRECİ</w:t>
      </w:r>
    </w:p>
    <w:p>
      <w:pPr>
        <w:rPr>
          <w:sz w:val="20"/>
          <w:szCs w:val="20"/>
          <w:lang w:eastAsia="tr-TR"/>
        </w:rPr>
      </w:pPr>
      <w:r>
        <w:rPr>
          <w:sz w:val="20"/>
          <w:szCs w:val="20"/>
          <w:lang w:eastAsia="tr-TR"/>
        </w:rPr>
        <w:t>Öğrencilere dönem başında tema, değer ve beceri temelli kitap okuma listesi tanıtılmıştır. Her öğrencinin en az bir kitap okuması sağlanmıştır. Okuma süreci boyunca öğrenciler: Metinlerde öne çıkan değer ve temaları belirlemiş, kitaplara ilişkin duygu ve düşüncelerini yazılı ya da sözlü olarak ifade etmiştir. Sınıf içinde kitaplar üzerine kısa paylaşımlar ve değerlendirme etkinlikleri yapılmıştır.</w:t>
      </w:r>
    </w:p>
    <w:p>
      <w:pPr>
        <w:rPr>
          <w:sz w:val="20"/>
          <w:szCs w:val="20"/>
          <w:lang w:eastAsia="tr-TR"/>
        </w:rPr>
      </w:pPr>
    </w:p>
    <w:p>
      <w:pPr>
        <w:rPr>
          <w:b w:val="1"/>
          <w:bCs w:val="1"/>
          <w:sz w:val="20"/>
          <w:szCs w:val="20"/>
          <w:lang w:eastAsia="tr-TR"/>
        </w:rPr>
      </w:pPr>
      <w:r>
        <w:rPr>
          <w:b w:val="1"/>
          <w:bCs w:val="1"/>
          <w:sz w:val="20"/>
          <w:szCs w:val="20"/>
          <w:lang w:eastAsia="tr-TR"/>
        </w:rPr>
        <w:t>4. KAZANDIRILAN DEĞER VE BECERİLER</w:t>
      </w:r>
    </w:p>
    <w:p>
      <w:pPr>
        <w:rPr>
          <w:sz w:val="20"/>
          <w:szCs w:val="20"/>
          <w:lang w:eastAsia="tr-TR"/>
        </w:rPr>
      </w:pPr>
      <w:r>
        <w:rPr>
          <w:sz w:val="20"/>
          <w:szCs w:val="20"/>
          <w:lang w:eastAsia="tr-TR"/>
        </w:rPr>
        <w:t>Faaliyet sonucunda öğrencilerin; merak, öz güven, yaratıcılık, eleştirel ve özgün düşünme, kendini tanıma, iletişim, iş birliği, sosyal farkındalık, sorumlu karar verme ve öz düzenleme becerilerinde gelişme sağladıkları gözlemlenmiştir. Ayrıca öğrencilerin okuma alışkanlığı kazanmaya yönelik olumlu tutum geliştirdikleri tespit edilmiştir.</w:t>
      </w:r>
    </w:p>
    <w:p>
      <w:pPr>
        <w:rPr>
          <w:sz w:val="20"/>
          <w:szCs w:val="20"/>
          <w:lang w:eastAsia="tr-TR"/>
        </w:rPr>
      </w:pPr>
    </w:p>
    <w:p>
      <w:pPr>
        <w:rPr>
          <w:b w:val="1"/>
          <w:bCs w:val="1"/>
          <w:sz w:val="20"/>
          <w:szCs w:val="20"/>
          <w:lang w:eastAsia="tr-TR"/>
        </w:rPr>
      </w:pPr>
      <w:r>
        <w:rPr>
          <w:b w:val="1"/>
          <w:bCs w:val="1"/>
          <w:sz w:val="20"/>
          <w:szCs w:val="20"/>
          <w:lang w:eastAsia="tr-TR"/>
        </w:rPr>
        <w:t>5. ÖLÇME VE DEĞERLENDİRME</w:t>
      </w:r>
    </w:p>
    <w:p>
      <w:pPr>
        <w:rPr>
          <w:sz w:val="20"/>
          <w:szCs w:val="20"/>
          <w:lang w:eastAsia="tr-TR"/>
        </w:rPr>
      </w:pPr>
      <w:r>
        <w:rPr>
          <w:sz w:val="20"/>
          <w:szCs w:val="20"/>
          <w:lang w:eastAsia="tr-TR"/>
        </w:rPr>
        <w:t>Öğrencilerin okuma faaliyetleri; okuma günlüğü, kitap değerlendirme formları, sınıf içi sözlü paylaşımlar aracılığıyla izlenmiş ve değerlendirilmiştir. Yapılan çalışmalar ile öğrenciler çalışmalarını kendi ürün dosyalarında saklanmıştır.</w:t>
      </w:r>
    </w:p>
    <w:p>
      <w:pPr>
        <w:rPr>
          <w:sz w:val="20"/>
          <w:szCs w:val="20"/>
          <w:lang w:eastAsia="tr-TR"/>
        </w:rPr>
      </w:pPr>
    </w:p>
    <w:p>
      <w:pPr>
        <w:rPr>
          <w:b w:val="1"/>
          <w:bCs w:val="1"/>
          <w:sz w:val="20"/>
          <w:szCs w:val="20"/>
          <w:lang w:eastAsia="tr-TR"/>
        </w:rPr>
      </w:pPr>
      <w:r>
        <w:rPr>
          <w:b w:val="1"/>
          <w:bCs w:val="1"/>
          <w:sz w:val="20"/>
          <w:szCs w:val="20"/>
          <w:lang w:eastAsia="tr-TR"/>
        </w:rPr>
        <w:t>6. SONUÇ VE DEĞERLENDİRME</w:t>
      </w:r>
    </w:p>
    <w:p>
      <w:pPr>
        <w:rPr>
          <w:sz w:val="20"/>
          <w:szCs w:val="20"/>
          <w:lang w:eastAsia="tr-TR"/>
        </w:rPr>
      </w:pPr>
      <w:r>
        <w:rPr>
          <w:sz w:val="20"/>
          <w:szCs w:val="20"/>
          <w:lang w:eastAsia="tr-TR"/>
        </w:rPr>
        <w:t>Kitap okuma faaliyeti, öğrencilerin edebî metinlerle daha bilinçli ilişki kurmalarına, okuduklarını yorumlama ve anlamlandırma becerilerini geliştirmelerine katkı sağlamıştır. Faaliyet, Türkiye Yüzyılı Maarif Modeli’nin hedeflediği çok yönlü, düşünen ve değerlerine sahip bireyler yetiştirme amacına uygun biçimde gerçekleştirilmiştir.</w:t>
      </w:r>
    </w:p>
    <w:p>
      <w:pPr>
        <w:rPr>
          <w:sz w:val="20"/>
          <w:szCs w:val="20"/>
        </w:rPr>
      </w:pPr>
    </w:p>
    <w:p>
      <w:pPr>
        <w:rPr>
          <w:sz w:val="20"/>
          <w:szCs w:val="20"/>
        </w:rPr>
      </w:pPr>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4750"/>
        <w:gridCol w:w="4282"/>
      </w:tblGrid>
      <w:tr>
        <w:tc>
          <w:tcPr>
            <w:tcW w:w="6300" w:type="dxa"/>
          </w:tcPr>
          <w:p>
            <w:pPr>
              <w:spacing w:lineRule="auto" w:line="276" w:after="0" w:beforeAutospacing="0" w:afterAutospacing="0"/>
              <w:rPr>
                <w:rFonts w:ascii="Arial Nova" w:hAnsi="Arial Nova" w:cs="Arial Nova" w:eastAsia="Arial Nova"/>
                <w:sz w:val="20"/>
                <w:szCs w:val="20"/>
                <w:lang w:eastAsia="tr-TR"/>
              </w:rPr>
            </w:pPr>
          </w:p>
        </w:tc>
        <w:tc>
          <w:tcPr>
            <w:tcW w:w="6300" w:type="dxa"/>
          </w:tcPr>
          <w:p>
            <w:pPr>
              <w:spacing w:lineRule="auto" w:line="276" w:after="0" w:beforeAutospacing="0" w:afterAutospacing="0"/>
              <w:jc w:val="center"/>
              <w:rPr>
                <w:rFonts w:ascii="Arial Nova" w:hAnsi="Arial Nova" w:cs="Arial Nova" w:eastAsia="Arial Nova"/>
                <w:sz w:val="20"/>
                <w:szCs w:val="20"/>
                <w:lang w:eastAsia="tr-TR"/>
              </w:rPr>
            </w:pPr>
          </w:p>
        </w:tc>
      </w:tr>
      <w:tr>
        <w:tc>
          <w:tcPr>
            <w:tcW w:w="6300" w:type="dxa"/>
          </w:tcPr>
          <w:p>
            <w:pPr>
              <w:spacing w:lineRule="auto" w:line="276" w:after="0" w:beforeAutospacing="0" w:afterAutospacing="0"/>
              <w:rPr>
                <w:rFonts w:ascii="Arial Nova" w:hAnsi="Arial Nova" w:cs="Arial Nova" w:eastAsia="Arial Nova"/>
                <w:sz w:val="20"/>
                <w:szCs w:val="20"/>
                <w:lang w:eastAsia="tr-TR"/>
              </w:rPr>
            </w:pPr>
          </w:p>
        </w:tc>
        <w:tc>
          <w:tcPr>
            <w:tcW w:w="6300" w:type="dxa"/>
          </w:tcPr>
          <w:p>
            <w:pPr>
              <w:spacing w:lineRule="auto" w:line="276" w:after="0" w:beforeAutospacing="0" w:afterAutospacing="0"/>
              <w:jc w:val="center"/>
              <w:rPr>
                <w:rFonts w:ascii="Arial Nova" w:hAnsi="Arial Nova" w:cs="Arial Nova" w:eastAsia="Arial Nova"/>
                <w:sz w:val="20"/>
                <w:szCs w:val="20"/>
                <w:lang w:eastAsia="tr-TR"/>
              </w:rPr>
            </w:pPr>
          </w:p>
        </w:tc>
      </w:tr>
      <w:tr>
        <w:tc>
          <w:tcPr>
            <w:tcW w:w="6300" w:type="dxa"/>
          </w:tcPr>
          <w:p>
            <w:pPr>
              <w:spacing w:lineRule="auto" w:line="276" w:after="0" w:beforeAutospacing="0" w:afterAutospacing="0"/>
              <w:jc w:val="center"/>
              <w:rPr>
                <w:rFonts w:ascii="Arial Nova" w:hAnsi="Arial Nova" w:cs="Arial Nova" w:eastAsia="Arial Nova"/>
                <w:sz w:val="20"/>
                <w:szCs w:val="20"/>
                <w:lang w:eastAsia="tr-TR"/>
              </w:rPr>
            </w:pPr>
            <w:r>
              <w:rPr>
                <w:rFonts w:ascii="Arial Nova" w:hAnsi="Arial Nova" w:cs="Arial Nova" w:eastAsia="Arial Nova"/>
                <w:sz w:val="20"/>
                <w:szCs w:val="20"/>
                <w:rtl w:val="0"/>
                <w:lang w:val="tr-TR" w:bidi="tr-TR" w:eastAsia="tr-TR"/>
              </w:rPr>
              <w:t>Yusuf Kenan DURMUŞOĞLU</w:t>
            </w:r>
          </w:p>
        </w:tc>
        <w:tc>
          <w:tcPr>
            <w:tcW w:w="6300" w:type="dxa"/>
          </w:tcPr>
          <w:p>
            <w:pPr>
              <w:spacing w:lineRule="auto" w:line="276" w:after="0" w:beforeAutospacing="0" w:afterAutospacing="0"/>
              <w:jc w:val="center"/>
              <w:rPr>
                <w:rFonts w:ascii="Arial Nova" w:hAnsi="Arial Nova" w:cs="Arial Nova" w:eastAsia="Arial Nova"/>
                <w:sz w:val="20"/>
                <w:szCs w:val="20"/>
                <w:lang w:eastAsia="tr-TR"/>
              </w:rPr>
            </w:pPr>
          </w:p>
        </w:tc>
      </w:tr>
      <w:tr>
        <w:tc>
          <w:tcPr>
            <w:tcW w:w="6300" w:type="dxa"/>
          </w:tcPr>
          <w:p>
            <w:pPr>
              <w:spacing w:lineRule="auto" w:line="276" w:after="0" w:beforeAutospacing="0" w:afterAutospacing="0"/>
              <w:jc w:val="center"/>
              <w:rPr>
                <w:rFonts w:ascii="Arial Nova" w:hAnsi="Arial Nova" w:cs="Arial Nova" w:eastAsia="Arial Nova"/>
                <w:sz w:val="20"/>
                <w:szCs w:val="20"/>
                <w:lang w:eastAsia="tr-TR"/>
              </w:rPr>
            </w:pPr>
            <w:r>
              <w:rPr>
                <w:rFonts w:ascii="Arial Nova" w:hAnsi="Arial Nova" w:cs="Arial Nova" w:eastAsia="Arial Nova"/>
                <w:b w:val="1"/>
                <w:bCs w:val="1"/>
                <w:sz w:val="20"/>
                <w:szCs w:val="20"/>
                <w:lang w:eastAsia="tr-TR"/>
              </w:rPr>
              <w:t>Türk Dili ve Edebiyatı Öğretmeni</w:t>
            </w:r>
          </w:p>
        </w:tc>
        <w:tc>
          <w:tcPr>
            <w:tcW w:w="6300" w:type="dxa"/>
          </w:tcPr>
          <w:p>
            <w:pPr>
              <w:spacing w:lineRule="auto" w:line="276" w:after="0" w:beforeAutospacing="0" w:afterAutospacing="0"/>
              <w:jc w:val="center"/>
              <w:rPr>
                <w:rFonts w:ascii="Arial Nova" w:hAnsi="Arial Nova" w:cs="Arial Nova" w:eastAsia="Arial Nova"/>
                <w:sz w:val="20"/>
                <w:szCs w:val="20"/>
                <w:lang w:eastAsia="tr-TR"/>
              </w:rPr>
            </w:pPr>
          </w:p>
        </w:tc>
      </w:tr>
    </w:tbl>
    <w:p>
      <w:pPr>
        <w:rPr>
          <w:sz w:val="20"/>
          <w:szCs w:val="20"/>
        </w:rPr>
      </w:pPr>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78C40A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A4B10A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decimal"/>
      <w:suff w:val="tab"/>
      <w:lvlText w:val="%2."/>
      <w:lvlJc w:val="left"/>
      <w:pPr>
        <w:ind w:hanging="360" w:left="1440"/>
        <w:tabs>
          <w:tab w:val="num" w:pos="1440" w:leader="none"/>
        </w:tabs>
      </w:pPr>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45BD2E1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5A356E6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61CF1B45"/>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6B5D0FA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1"/>
  </w:num>
  <w:num w:numId="2">
    <w:abstractNumId w:val="1"/>
    <w:lvlOverride w:ilvl="1">
      <w:startOverride w:val="2"/>
    </w:lvlOverride>
  </w:num>
  <w:num w:numId="3">
    <w:abstractNumId w:val="3"/>
  </w:num>
  <w:num w:numId="4">
    <w:abstractNumId w:val="4"/>
  </w:num>
  <w:num w:numId="5">
    <w:abstractNumId w:val="5"/>
  </w:num>
  <w:num w:numId="6">
    <w:abstractNumId w:val="0"/>
  </w:num>
  <w:num w:numId="7">
    <w:abstractNumId w:val="2"/>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2026-01-03T15:16:43Z</dcterms:created>
  <cp:lastModifiedBy>Yusuf Kenan</cp:lastModifiedBy>
  <dcterms:modified xsi:type="dcterms:W3CDTF">2026-01-03T15:16:43Z</dcterms:modified>
  <cp:revision>2</cp:revision>
</cp:coreProperties>
</file>